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16A33">
      <w:pPr>
        <w:spacing w:before="156" w:beforeLines="50" w:after="156" w:afterLines="50" w:line="360" w:lineRule="auto"/>
        <w:ind w:firstLine="420" w:firstLineChars="200"/>
        <w:jc w:val="left"/>
        <w:rPr>
          <w:rFonts w:hAnsi="Times New Roman"/>
          <w:b/>
          <w:bCs/>
          <w:color w:val="000000" w:themeColor="text1"/>
          <w:sz w:val="24"/>
          <w14:textFill>
            <w14:solidFill>
              <w14:schemeClr w14:val="tx1"/>
            </w14:solidFill>
          </w14:textFill>
        </w:rPr>
      </w:pPr>
      <w:bookmarkStart w:id="0" w:name="_GoBack"/>
      <w:bookmarkEnd w:id="0"/>
      <w: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-151130</wp:posOffset>
                </wp:positionV>
                <wp:extent cx="3356610" cy="1859280"/>
                <wp:effectExtent l="0" t="0" r="0" b="7620"/>
                <wp:wrapNone/>
                <wp:docPr id="34" name="文本框 34"/>
                <wp:cNvGraphicFramePr/>
                <a:graphic xmlns:a="http://schemas.openxmlformats.org/drawingml/2006/main">
                  <a:graphicData uri="http://schemas.microsoft.com/office/word/2010/wordprocessingShape">
                    <wps:wsp>
                      <wps:cNvSpPr txBox="1"/>
                      <wps:spPr>
                        <a:xfrm>
                          <a:off x="0" y="0"/>
                          <a:ext cx="3356610" cy="1859280"/>
                        </a:xfrm>
                        <a:prstGeom prst="rect">
                          <a:avLst/>
                        </a:prstGeom>
                        <a:noFill/>
                        <a:ln w="6350">
                          <a:noFill/>
                        </a:ln>
                      </wps:spPr>
                      <wps:txbx>
                        <w:txbxContent>
                          <w:p w14:paraId="5976D4AC">
                            <w:pPr>
                              <w:rPr>
                                <w:rFonts w:hAnsi="Times New Roman"/>
                                <w:b/>
                                <w:bCs/>
                                <w:color w:val="00366F"/>
                                <w:sz w:val="15"/>
                                <w:szCs w:val="15"/>
                              </w:rPr>
                            </w:pPr>
                            <w:r>
                              <w:rPr>
                                <w:rFonts w:hAnsi="Times New Roman" w:eastAsia="Times New Roman"/>
                                <w:b/>
                                <w:bCs/>
                                <w:color w:val="00366F"/>
                                <w:sz w:val="28"/>
                                <w:szCs w:val="36"/>
                              </w:rPr>
                              <w:t xml:space="preserve">Rui Wang </w:t>
                            </w:r>
                            <w:r>
                              <w:rPr>
                                <w:rFonts w:hint="eastAsia" w:ascii="Times New Roman" w:hAnsi="Times New Roman"/>
                                <w:b/>
                                <w:bCs/>
                                <w:color w:val="00366F"/>
                                <w:sz w:val="15"/>
                                <w:szCs w:val="15"/>
                              </w:rPr>
                              <w:t>Partners</w:t>
                            </w:r>
                          </w:p>
                          <w:p w14:paraId="4419E74B">
                            <w:pPr>
                              <w:spacing w:before="78" w:beforeLines="25" w:after="78" w:afterLines="25"/>
                              <w:rPr>
                                <w:rFonts w:hAnsi="Times New Roman"/>
                                <w:b/>
                                <w:bCs/>
                                <w:color w:val="9D8D7E"/>
                                <w:sz w:val="15"/>
                                <w:szCs w:val="15"/>
                              </w:rPr>
                            </w:pPr>
                            <w:r>
                              <w:rPr>
                                <w:rFonts w:hAnsi="Times New Roman" w:eastAsia="Times New Roman"/>
                                <w:b/>
                                <w:bCs/>
                                <w:color w:val="9D8D7E"/>
                                <w:sz w:val="15"/>
                                <w:szCs w:val="15"/>
                              </w:rPr>
                              <w:t>Expertise: Capital Market, Corporate Finance, Civil and Commercial Litigation/Arbitration, Labor Dispute</w:t>
                            </w:r>
                          </w:p>
                          <w:p w14:paraId="30CAEE4E">
                            <w:pPr>
                              <w:spacing w:before="78" w:beforeLines="25" w:after="78" w:afterLines="25"/>
                              <w:rPr>
                                <w:rFonts w:hAnsi="Times New Roman"/>
                                <w:b/>
                                <w:bCs/>
                                <w:color w:val="9D8D7E"/>
                                <w:sz w:val="15"/>
                                <w:szCs w:val="15"/>
                              </w:rPr>
                            </w:pPr>
                            <w:r>
                              <w:rPr>
                                <w:rFonts w:hAnsi="Times New Roman" w:eastAsia="Times New Roman"/>
                                <w:b/>
                                <w:bCs/>
                                <w:color w:val="9D8D7E"/>
                                <w:sz w:val="15"/>
                                <w:szCs w:val="15"/>
                              </w:rPr>
                              <w:t>Tel: + 8610-8587 0068</w:t>
                            </w:r>
                          </w:p>
                          <w:p w14:paraId="7424F9CE">
                            <w:pPr>
                              <w:spacing w:before="78" w:beforeLines="25" w:after="78" w:afterLines="25"/>
                              <w:rPr>
                                <w:rFonts w:hAnsi="Times New Roman"/>
                                <w:b/>
                                <w:bCs/>
                                <w:color w:val="9D8D7E"/>
                                <w:sz w:val="15"/>
                                <w:szCs w:val="15"/>
                              </w:rPr>
                            </w:pPr>
                            <w:r>
                              <w:rPr>
                                <w:rFonts w:hAnsi="Times New Roman" w:eastAsia="Times New Roman"/>
                                <w:b/>
                                <w:bCs/>
                                <w:color w:val="9D8D7E"/>
                                <w:sz w:val="15"/>
                                <w:szCs w:val="15"/>
                              </w:rPr>
                              <w:t>Fax: + 8610-8587 0079</w:t>
                            </w:r>
                          </w:p>
                          <w:p w14:paraId="49903B03">
                            <w:pPr>
                              <w:spacing w:before="78" w:beforeLines="25" w:after="78" w:afterLines="25"/>
                              <w:rPr>
                                <w:rFonts w:hAnsi="Times New Roman"/>
                                <w:color w:val="9D8D7E"/>
                                <w:sz w:val="15"/>
                                <w:szCs w:val="15"/>
                              </w:rPr>
                            </w:pPr>
                            <w:r>
                              <w:rPr>
                                <w:rFonts w:hAnsi="Times New Roman" w:eastAsia="Times New Roman"/>
                                <w:b/>
                                <w:bCs/>
                                <w:color w:val="9D8D7E"/>
                                <w:sz w:val="15"/>
                                <w:szCs w:val="15"/>
                              </w:rPr>
                              <w:t>E-mail: ruiwang @ chancebridge.com</w:t>
                            </w:r>
                          </w:p>
                        </w:txbxContent>
                      </wps:txbx>
                      <wps:bodyPr rot="0" spcFirstLastPara="0" vertOverflow="overflow" horzOverflow="overflow" vert="horz" wrap="square" lIns="162000" tIns="18000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11.9pt;height:146.4pt;width:264.3pt;z-index:251660288;mso-width-relative:page;mso-height-relative:page;" filled="f" stroked="f" coordsize="21600,21600" o:gfxdata="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r2dXb3AAAAAoBAAAPAAAAAAAAAAEA&#10;IAAAACIAAABkcnMvZG93bnJldi54bWxQSwECFAAUAAAACACHTuJA2GbyYUQCAABrBAAADgAAAAAA&#10;AAABACAAAAArAQAAZHJzL2Uyb0RvYy54bWxQSwUGAAAAAAYABgBZAQAA4QUAAAAA&#10;">
                <v:fill on="f" focussize="0,0"/>
                <v:stroke on="f" weight="0.5pt"/>
                <v:imagedata o:title=""/>
                <o:lock v:ext="edit" aspectratio="f"/>
                <v:textbox inset="4.5mm,5mm,2.54mm,1.27mm">
                  <w:txbxContent>
                    <w:p w14:paraId="5976D4AC">
                      <w:pPr>
                        <w:rPr>
                          <w:rFonts w:hAnsi="Times New Roman"/>
                          <w:b/>
                          <w:bCs/>
                          <w:color w:val="00366F"/>
                          <w:sz w:val="15"/>
                          <w:szCs w:val="15"/>
                        </w:rPr>
                      </w:pPr>
                      <w:r>
                        <w:rPr>
                          <w:rFonts w:hAnsi="Times New Roman" w:eastAsia="Times New Roman"/>
                          <w:b/>
                          <w:bCs/>
                          <w:color w:val="00366F"/>
                          <w:sz w:val="28"/>
                          <w:szCs w:val="36"/>
                        </w:rPr>
                        <w:t xml:space="preserve">Rui Wang </w:t>
                      </w:r>
                      <w:r>
                        <w:rPr>
                          <w:rFonts w:hint="eastAsia" w:ascii="Times New Roman" w:hAnsi="Times New Roman"/>
                          <w:b/>
                          <w:bCs/>
                          <w:color w:val="00366F"/>
                          <w:sz w:val="15"/>
                          <w:szCs w:val="15"/>
                        </w:rPr>
                        <w:t>Partners</w:t>
                      </w:r>
                    </w:p>
                    <w:p w14:paraId="4419E74B">
                      <w:pPr>
                        <w:spacing w:before="78" w:beforeLines="25" w:after="78" w:afterLines="25"/>
                        <w:rPr>
                          <w:rFonts w:hAnsi="Times New Roman"/>
                          <w:b/>
                          <w:bCs/>
                          <w:color w:val="9D8D7E"/>
                          <w:sz w:val="15"/>
                          <w:szCs w:val="15"/>
                        </w:rPr>
                      </w:pPr>
                      <w:r>
                        <w:rPr>
                          <w:rFonts w:hAnsi="Times New Roman" w:eastAsia="Times New Roman"/>
                          <w:b/>
                          <w:bCs/>
                          <w:color w:val="9D8D7E"/>
                          <w:sz w:val="15"/>
                          <w:szCs w:val="15"/>
                        </w:rPr>
                        <w:t>Expertise: Capital Market, Corporate Finance, Civil and Commercial Litigation/Arbitration, Labor Dispute</w:t>
                      </w:r>
                    </w:p>
                    <w:p w14:paraId="30CAEE4E">
                      <w:pPr>
                        <w:spacing w:before="78" w:beforeLines="25" w:after="78" w:afterLines="25"/>
                        <w:rPr>
                          <w:rFonts w:hAnsi="Times New Roman"/>
                          <w:b/>
                          <w:bCs/>
                          <w:color w:val="9D8D7E"/>
                          <w:sz w:val="15"/>
                          <w:szCs w:val="15"/>
                        </w:rPr>
                      </w:pPr>
                      <w:r>
                        <w:rPr>
                          <w:rFonts w:hAnsi="Times New Roman" w:eastAsia="Times New Roman"/>
                          <w:b/>
                          <w:bCs/>
                          <w:color w:val="9D8D7E"/>
                          <w:sz w:val="15"/>
                          <w:szCs w:val="15"/>
                        </w:rPr>
                        <w:t>Tel: + 8610-8587 0068</w:t>
                      </w:r>
                    </w:p>
                    <w:p w14:paraId="7424F9CE">
                      <w:pPr>
                        <w:spacing w:before="78" w:beforeLines="25" w:after="78" w:afterLines="25"/>
                        <w:rPr>
                          <w:rFonts w:hAnsi="Times New Roman"/>
                          <w:b/>
                          <w:bCs/>
                          <w:color w:val="9D8D7E"/>
                          <w:sz w:val="15"/>
                          <w:szCs w:val="15"/>
                        </w:rPr>
                      </w:pPr>
                      <w:r>
                        <w:rPr>
                          <w:rFonts w:hAnsi="Times New Roman" w:eastAsia="Times New Roman"/>
                          <w:b/>
                          <w:bCs/>
                          <w:color w:val="9D8D7E"/>
                          <w:sz w:val="15"/>
                          <w:szCs w:val="15"/>
                        </w:rPr>
                        <w:t>Fax: + 8610-8587 0079</w:t>
                      </w:r>
                    </w:p>
                    <w:p w14:paraId="49903B03">
                      <w:pPr>
                        <w:spacing w:before="78" w:beforeLines="25" w:after="78" w:afterLines="25"/>
                        <w:rPr>
                          <w:rFonts w:hAnsi="Times New Roman"/>
                          <w:color w:val="9D8D7E"/>
                          <w:sz w:val="15"/>
                          <w:szCs w:val="15"/>
                        </w:rPr>
                      </w:pPr>
                      <w:r>
                        <w:rPr>
                          <w:rFonts w:hAnsi="Times New Roman" w:eastAsia="Times New Roman"/>
                          <w:b/>
                          <w:bCs/>
                          <w:color w:val="9D8D7E"/>
                          <w:sz w:val="15"/>
                          <w:szCs w:val="15"/>
                        </w:rPr>
                        <w:t>E-mail: ruiwang @ chancebridge.com</w:t>
                      </w:r>
                    </w:p>
                  </w:txbxContent>
                </v:textbox>
              </v:shape>
            </w:pict>
          </mc:Fallback>
        </mc:AlternateContent>
      </w:r>
      <w:r>
        <w:rPr>
          <w:rFonts w:hAnsi="Times New Roman" w:eastAsia="Times New Roman"/>
          <w:bCs/>
          <w:color w:val="000000" w:themeColor="text1"/>
          <w:sz w:val="24"/>
          <w14:textFill>
            <w14:solidFill>
              <w14:schemeClr w14:val="tx1"/>
            </w14:solidFill>
          </w14:textFill>
        </w:rPr>
        <w:t>、 Hi</w:t>
      </w:r>
      <w:r>
        <w:rPr>
          <w:rFonts w:hAnsi="Times New Roman"/>
          <w:b/>
          <w:bCs/>
          <w:color w:val="000000" w:themeColor="text1"/>
          <w:sz w:val="44"/>
          <w:szCs w:val="44"/>
          <w14:textFill>
            <w14:solidFill>
              <w14:schemeClr w14:val="tx1"/>
            </w14:solidFill>
          </w14:textFill>
        </w:rPr>
        <w:drawing>
          <wp:anchor distT="0" distB="0" distL="114300" distR="114300" simplePos="0" relativeHeight="251666432" behindDoc="0" locked="0" layoutInCell="1" allowOverlap="1">
            <wp:simplePos x="0" y="0"/>
            <wp:positionH relativeFrom="column">
              <wp:posOffset>4389755</wp:posOffset>
            </wp:positionH>
            <wp:positionV relativeFrom="paragraph">
              <wp:posOffset>0</wp:posOffset>
            </wp:positionV>
            <wp:extent cx="1480185" cy="1604010"/>
            <wp:effectExtent l="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0185" cy="1604010"/>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-8255</wp:posOffset>
                </wp:positionV>
                <wp:extent cx="5829300" cy="1612265"/>
                <wp:effectExtent l="0" t="0" r="0" b="6985"/>
                <wp:wrapNone/>
                <wp:docPr id="31" name="矩形 31"/>
                <wp:cNvGraphicFramePr/>
                <a:graphic xmlns:a="http://schemas.openxmlformats.org/drawingml/2006/main">
                  <a:graphicData uri="http://schemas.microsoft.com/office/word/2010/wordprocessingShape">
                    <wps:wsp>
                      <wps:cNvSpPr/>
                      <wps:spPr>
                        <a:xfrm>
                          <a:off x="0" y="0"/>
                          <a:ext cx="5829300" cy="1612265"/>
                        </a:xfrm>
                        <a:prstGeom prst="rect">
                          <a:avLst/>
                        </a:prstGeom>
                        <a:solidFill>
                          <a:srgbClr val="F4F6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CA31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9pt;margin-top:-0.65pt;height:126.95pt;width:459pt;z-index:251659264;v-text-anchor:middle;mso-width-relative:page;mso-height-relative:page;" fillcolor="#F4F6F8" filled="t" stroked="f" coordsize="21600,21600" o:gfxdata="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s/Q9dYAAAAJAQAADwAAAAAAAAABACAAAAAiAAAAZHJzL2Rv&#10;d25yZXYueG1sUEsBAhQAFAAAAAgAh07iQGZZ2411AgAA2QQAAA4AAAAAAAAAAQAgAAAAJQEAAGRy&#10;cy9lMm9Eb2MueG1sUEsFBgAAAAAGAAYAWQEAAAwGAAAAAA==&#10;">
                <v:fill on="t" focussize="0,0"/>
                <v:stroke on="f" weight="1pt" miterlimit="8" joinstyle="miter"/>
                <v:imagedata o:title=""/>
                <o:lock v:ext="edit" aspectratio="f"/>
                <v:textbox>
                  <w:txbxContent>
                    <w:p w14:paraId="2BCCA31E">
                      <w:pPr>
                        <w:jc w:val="center"/>
                      </w:pPr>
                    </w:p>
                  </w:txbxContent>
                </v:textbox>
              </v:rect>
            </w:pict>
          </mc:Fallback>
        </mc:AlternateContent>
      </w:r>
    </w:p>
    <w:p w14:paraId="13F40012">
      <w:pPr>
        <w:spacing w:before="156" w:beforeLines="50" w:after="156" w:afterLines="50" w:line="360" w:lineRule="auto"/>
        <w:ind w:firstLine="482" w:firstLineChars="200"/>
        <w:jc w:val="left"/>
        <w:rPr>
          <w:rFonts w:hAnsi="Times New Roman"/>
          <w:b/>
          <w:bCs/>
          <w:color w:val="000000" w:themeColor="text1"/>
          <w:sz w:val="24"/>
          <w14:textFill>
            <w14:solidFill>
              <w14:schemeClr w14:val="tx1"/>
            </w14:solidFill>
          </w14:textFill>
        </w:rPr>
      </w:pPr>
    </w:p>
    <w:p w14:paraId="12B36857">
      <w:pPr>
        <w:spacing w:before="156" w:beforeLines="50" w:after="156" w:afterLines="50" w:line="360" w:lineRule="auto"/>
        <w:ind w:firstLine="482" w:firstLineChars="200"/>
        <w:jc w:val="left"/>
        <w:rPr>
          <w:rFonts w:hAnsi="Times New Roman"/>
          <w:b/>
          <w:bCs/>
          <w:color w:val="000000" w:themeColor="text1"/>
          <w:sz w:val="24"/>
          <w14:textFill>
            <w14:solidFill>
              <w14:schemeClr w14:val="tx1"/>
            </w14:solidFill>
          </w14:textFill>
        </w:rPr>
      </w:pPr>
    </w:p>
    <w:p w14:paraId="07B6951F">
      <w:pPr>
        <w:spacing w:before="156" w:beforeLines="50" w:after="156" w:afterLines="50" w:line="360" w:lineRule="auto"/>
        <w:jc w:val="left"/>
        <w:rPr>
          <w:rFonts w:hAnsi="Times New Roman"/>
          <w:b/>
          <w:bCs/>
          <w:color w:val="000000" w:themeColor="text1"/>
          <w:sz w:val="24"/>
          <w14:textFill>
            <w14:solidFill>
              <w14:schemeClr w14:val="tx1"/>
            </w14:solidFill>
          </w14:textFill>
        </w:rPr>
      </w:pPr>
    </w:p>
    <w:p w14:paraId="02836CA1">
      <w:pPr>
        <w:adjustRightInd w:val="0"/>
        <w:spacing w:before="156" w:beforeLines="50" w:after="156" w:afterLines="50"/>
        <w:contextualSpacing/>
        <w:rPr>
          <w:rFonts w:hAnsi="Times New Roman"/>
          <w:b/>
          <w:bCs/>
          <w:color w:val="00366F"/>
          <w:szCs w:val="20"/>
          <w:lang w:bidi="en-US"/>
        </w:rPr>
      </w:pPr>
    </w:p>
    <w:p w14:paraId="06EB0FF8">
      <w:pPr>
        <w:adjustRightInd w:val="0"/>
        <w:contextualSpacing/>
        <w:rPr>
          <w:rFonts w:hAnsi="Times New Roman"/>
          <w:b/>
          <w:bCs/>
          <w:color w:val="00366F"/>
          <w:szCs w:val="20"/>
          <w:lang w:bidi="en-US"/>
        </w:rPr>
      </w:pPr>
      <w:r>
        <w:rPr>
          <w:rFonts w:hAnsi="Times New Roman" w:eastAsia="Times New Roman"/>
          <w:b/>
          <w:bCs/>
          <w:color w:val="00366F"/>
          <w:szCs w:val="20"/>
          <w:lang w:bidi="en-US"/>
        </w:rPr>
        <w:t xml:space="preserve"> Field of Practice and Experience</w:t>
      </w:r>
    </w:p>
    <w:p w14:paraId="02D04869">
      <w:pPr>
        <w:adjustRightInd w:val="0"/>
        <w:spacing w:line="200" w:lineRule="exact"/>
        <w:contextualSpacing/>
        <w:rPr>
          <w:rFonts w:hAnsi="Times New Roman"/>
          <w:b/>
          <w:bCs/>
          <w:color w:val="00366F"/>
          <w:szCs w:val="20"/>
          <w:lang w:bidi="en-US"/>
        </w:rPr>
      </w:pPr>
      <w:r>
        <w:rPr>
          <w:rFonts w:hAnsi="Times New Roman"/>
          <w:b/>
          <w:bCs/>
          <w:color w:val="00366F"/>
          <w:szCs w:val="2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93345</wp:posOffset>
                </wp:positionV>
                <wp:extent cx="5819775"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819775" cy="0"/>
                        </a:xfrm>
                        <a:prstGeom prst="line">
                          <a:avLst/>
                        </a:prstGeom>
                        <a:ln>
                          <a:solidFill>
                            <a:srgbClr val="0036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pt;width:458.25pt;mso-position-horizontal-relative:margin;z-index:251661312;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AupmbV&#10;AAAABgEAAA8AAAAAAAAAAQAgAAAAIgAAAGRycy9kb3ducmV2LnhtbFBLAQIUABQAAAAIAIdO4kAO&#10;+2oj6gEAALMDAAAOAAAAAAAAAAEAIAAAACQBAABkcnMvZTJvRG9jLnhtbFBLBQYAAAAABgAGAFkB&#10;AACABQAAAAA=&#10;">
                <v:fill on="f" focussize="0,0"/>
                <v:stroke weight="0.5pt" color="#00366F [3204]" miterlimit="8" joinstyle="miter"/>
                <v:imagedata o:title=""/>
                <o:lock v:ext="edit" aspectratio="f"/>
              </v:line>
            </w:pict>
          </mc:Fallback>
        </mc:AlternateContent>
      </w:r>
    </w:p>
    <w:p w14:paraId="0B7687CE">
      <w:pPr>
        <w:adjustRightInd w:val="0"/>
        <w:spacing w:line="200" w:lineRule="exact"/>
        <w:contextualSpacing/>
        <w:rPr>
          <w:rFonts w:hAnsi="Times New Roman"/>
          <w:color w:val="00366F"/>
          <w:szCs w:val="20"/>
        </w:rPr>
      </w:pPr>
    </w:p>
    <w:p w14:paraId="5D449FBD">
      <w:pPr>
        <w:adjustRightInd w:val="0"/>
        <w:spacing w:before="156" w:beforeLines="50" w:after="156" w:afterLines="50" w:line="360" w:lineRule="auto"/>
        <w:contextualSpacing/>
        <w:rPr>
          <w:rFonts w:hAnsi="Times New Roman"/>
          <w:color w:val="000000"/>
          <w:szCs w:val="20"/>
        </w:rPr>
      </w:pPr>
      <w:r>
        <w:rPr>
          <w:rFonts w:hAnsi="Times New Roman" w:eastAsia="Times New Roman"/>
          <w:color w:val="000000"/>
          <w:szCs w:val="20"/>
        </w:rPr>
        <w:t xml:space="preserve">Ms. Wang Rui is a practicing attorney of Shenzhen Branch of Chance Bridge Law Firm. Her practice areas focus on the areas of capital market and corporate finance, and she has extensive experience in the issuance of corporate bonds, the management of compliance at securities companies, the resolution of civil and commercial disputes and labor disputes. </w:t>
      </w:r>
    </w:p>
    <w:p w14:paraId="2CB0FE8B">
      <w:pPr>
        <w:adjustRightInd w:val="0"/>
        <w:spacing w:before="156" w:beforeLines="50" w:after="156" w:afterLines="50" w:line="360" w:lineRule="auto"/>
        <w:contextualSpacing/>
        <w:rPr>
          <w:rFonts w:hAnsi="Times New Roman"/>
          <w:color w:val="000000"/>
          <w:szCs w:val="20"/>
        </w:rPr>
      </w:pPr>
    </w:p>
    <w:p w14:paraId="1D21E13B">
      <w:pPr>
        <w:adjustRightInd w:val="0"/>
        <w:contextualSpacing/>
        <w:rPr>
          <w:rFonts w:hAnsi="Times New Roman"/>
          <w:b/>
          <w:bCs/>
          <w:color w:val="00366F"/>
          <w:szCs w:val="20"/>
          <w:lang w:bidi="en-US"/>
        </w:rPr>
      </w:pPr>
      <w:r>
        <w:rPr>
          <w:rFonts w:hAnsi="Times New Roman" w:eastAsia="Times New Roman"/>
          <w:b/>
          <w:bCs/>
          <w:color w:val="00366F"/>
          <w:szCs w:val="20"/>
          <w:lang w:bidi="en-US"/>
        </w:rPr>
        <w:t>Education Background</w:t>
      </w:r>
    </w:p>
    <w:p w14:paraId="37CA59E5">
      <w:pPr>
        <w:adjustRightInd w:val="0"/>
        <w:spacing w:line="200" w:lineRule="exact"/>
        <w:contextualSpacing/>
        <w:rPr>
          <w:rFonts w:hAnsi="Times New Roman"/>
          <w:b/>
          <w:bCs/>
          <w:color w:val="00366F"/>
          <w:szCs w:val="20"/>
          <w:lang w:bidi="en-US"/>
        </w:rPr>
      </w:pPr>
      <w:r>
        <w:rPr>
          <w:rFonts w:hAnsi="Times New Roman"/>
          <w:b/>
          <w:bCs/>
          <w:color w:val="00366F"/>
          <w:szCs w:val="20"/>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102870</wp:posOffset>
                </wp:positionV>
                <wp:extent cx="581977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819775" cy="0"/>
                        </a:xfrm>
                        <a:prstGeom prst="line">
                          <a:avLst/>
                        </a:prstGeom>
                        <a:ln>
                          <a:solidFill>
                            <a:srgbClr val="0036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1pt;height:0pt;width:458.25pt;mso-position-horizontal-relative:margin;z-index:251662336;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3FT5dQA&#10;AAAGAQAADwAAAAAAAAABACAAAAAiAAAAZHJzL2Rvd25yZXYueG1sUEsBAhQAFAAAAAgAh07iQMmd&#10;9BvqAQAAswMAAA4AAAAAAAAAAQAgAAAAIwEAAGRycy9lMm9Eb2MueG1sUEsFBgAAAAAGAAYAWQEA&#10;AH8FAAAAAA==&#10;">
                <v:fill on="f" focussize="0,0"/>
                <v:stroke weight="0.5pt" color="#00366F [3204]" miterlimit="8" joinstyle="miter"/>
                <v:imagedata o:title=""/>
                <o:lock v:ext="edit" aspectratio="f"/>
              </v:line>
            </w:pict>
          </mc:Fallback>
        </mc:AlternateContent>
      </w:r>
    </w:p>
    <w:p w14:paraId="68E76847">
      <w:pPr>
        <w:adjustRightInd w:val="0"/>
        <w:spacing w:line="200" w:lineRule="exact"/>
        <w:contextualSpacing/>
        <w:rPr>
          <w:rFonts w:hAnsi="Times New Roman"/>
          <w:color w:val="00366F"/>
          <w:szCs w:val="20"/>
        </w:rPr>
      </w:pPr>
    </w:p>
    <w:p w14:paraId="10984D94">
      <w:pPr>
        <w:widowControl/>
        <w:numPr>
          <w:ilvl w:val="0"/>
          <w:numId w:val="1"/>
        </w:numPr>
        <w:adjustRightInd w:val="0"/>
        <w:spacing w:before="156" w:beforeLines="50" w:after="156" w:afterLines="50" w:line="360" w:lineRule="auto"/>
        <w:ind w:left="420" w:hangingChars="200"/>
        <w:contextualSpacing/>
        <w:rPr>
          <w:rFonts w:hAnsi="Times New Roman"/>
          <w:color w:val="000000"/>
          <w:kern w:val="0"/>
          <w:szCs w:val="21"/>
          <w:lang w:bidi="en-US"/>
        </w:rPr>
      </w:pPr>
      <w:r>
        <w:rPr>
          <w:rFonts w:hAnsi="Times New Roman" w:eastAsia="Times New Roman"/>
          <w:color w:val="000000"/>
          <w:kern w:val="0"/>
          <w:szCs w:val="21"/>
          <w:lang w:bidi="en-US"/>
        </w:rPr>
        <w:t xml:space="preserve">In 2013, she graduated from Law School of Hainan University with a Master of Civil Procedure Law degree. </w:t>
      </w:r>
    </w:p>
    <w:p w14:paraId="3DE4DBD1">
      <w:pPr>
        <w:widowControl/>
        <w:numPr>
          <w:ilvl w:val="0"/>
          <w:numId w:val="1"/>
        </w:numPr>
        <w:adjustRightInd w:val="0"/>
        <w:spacing w:before="156" w:beforeLines="50" w:after="156" w:afterLines="50" w:line="360" w:lineRule="auto"/>
        <w:ind w:left="420" w:hangingChars="200"/>
        <w:contextualSpacing/>
        <w:rPr>
          <w:rFonts w:hAnsi="Times New Roman"/>
          <w:color w:val="000000"/>
          <w:kern w:val="0"/>
          <w:szCs w:val="21"/>
          <w:lang w:bidi="en-US"/>
        </w:rPr>
      </w:pPr>
      <w:r>
        <w:rPr>
          <w:rFonts w:hAnsi="Times New Roman" w:eastAsia="Times New Roman"/>
          <w:color w:val="000000"/>
          <w:kern w:val="0"/>
          <w:szCs w:val="21"/>
          <w:lang w:bidi="en-US"/>
        </w:rPr>
        <w:t xml:space="preserve">In 2010, she graduated from Hainan University with a Bachelor of Laws degree. </w:t>
      </w:r>
    </w:p>
    <w:p w14:paraId="0FD1AB7C">
      <w:pPr>
        <w:adjustRightInd w:val="0"/>
        <w:spacing w:before="156" w:beforeLines="50" w:after="156" w:afterLines="50" w:line="360" w:lineRule="auto"/>
        <w:contextualSpacing/>
        <w:rPr>
          <w:rFonts w:hAnsi="Times New Roman"/>
          <w:b/>
          <w:bCs/>
          <w:color w:val="00366F"/>
          <w:szCs w:val="20"/>
          <w:lang w:bidi="en-US"/>
        </w:rPr>
      </w:pPr>
    </w:p>
    <w:p w14:paraId="79AC5D41">
      <w:pPr>
        <w:adjustRightInd w:val="0"/>
        <w:contextualSpacing/>
        <w:rPr>
          <w:rFonts w:hAnsi="Times New Roman"/>
          <w:b/>
          <w:bCs/>
          <w:color w:val="00366F"/>
          <w:szCs w:val="20"/>
          <w:lang w:bidi="en-US"/>
        </w:rPr>
      </w:pPr>
      <w:r>
        <w:rPr>
          <w:rFonts w:hAnsi="Times New Roman" w:eastAsia="Times New Roman"/>
          <w:b/>
          <w:bCs/>
          <w:color w:val="00366F"/>
          <w:szCs w:val="20"/>
          <w:lang w:bidi="en-US"/>
        </w:rPr>
        <w:t>Work Experience</w:t>
      </w:r>
    </w:p>
    <w:p w14:paraId="64828311">
      <w:pPr>
        <w:adjustRightInd w:val="0"/>
        <w:spacing w:line="200" w:lineRule="exact"/>
        <w:contextualSpacing/>
        <w:rPr>
          <w:rFonts w:hAnsi="Times New Roman"/>
          <w:b/>
          <w:bCs/>
          <w:color w:val="00366F"/>
          <w:szCs w:val="20"/>
          <w:lang w:bidi="en-US"/>
        </w:rPr>
      </w:pPr>
      <w:r>
        <w:rPr>
          <w:rFonts w:hAnsi="Times New Roman"/>
          <w:b/>
          <w:bCs/>
          <w:color w:val="00366F"/>
          <w:szCs w:val="20"/>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93345</wp:posOffset>
                </wp:positionV>
                <wp:extent cx="5819775"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819775" cy="0"/>
                        </a:xfrm>
                        <a:prstGeom prst="line">
                          <a:avLst/>
                        </a:prstGeom>
                        <a:ln>
                          <a:solidFill>
                            <a:srgbClr val="0036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pt;width:458.25pt;mso-position-horizontal-relative:margin;z-index:251663360;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C6mZtUA&#10;AAAGAQAADwAAAAAAAAABACAAAAAiAAAAZHJzL2Rvd25yZXYueG1sUEsBAhQAFAAAAAgAh07iQEtC&#10;rrrpAQAAswMAAA4AAAAAAAAAAQAgAAAAJAEAAGRycy9lMm9Eb2MueG1sUEsFBgAAAAAGAAYAWQEA&#10;AH8FAAAAAA==&#10;">
                <v:fill on="f" focussize="0,0"/>
                <v:stroke weight="0.5pt" color="#00366F [3204]" miterlimit="8" joinstyle="miter"/>
                <v:imagedata o:title=""/>
                <o:lock v:ext="edit" aspectratio="f"/>
              </v:line>
            </w:pict>
          </mc:Fallback>
        </mc:AlternateContent>
      </w:r>
    </w:p>
    <w:p w14:paraId="7DEB1823">
      <w:pPr>
        <w:adjustRightInd w:val="0"/>
        <w:spacing w:line="200" w:lineRule="exact"/>
        <w:contextualSpacing/>
        <w:rPr>
          <w:rFonts w:hAnsi="Times New Roman"/>
          <w:b/>
          <w:bCs/>
          <w:color w:val="00366F"/>
          <w:szCs w:val="20"/>
          <w:lang w:bidi="en-US"/>
        </w:rPr>
      </w:pPr>
    </w:p>
    <w:p w14:paraId="3F09E54F">
      <w:pPr>
        <w:widowControl/>
        <w:numPr>
          <w:ilvl w:val="0"/>
          <w:numId w:val="1"/>
        </w:numPr>
        <w:adjustRightInd w:val="0"/>
        <w:spacing w:before="156" w:beforeLines="50" w:after="156" w:afterLines="50" w:line="360" w:lineRule="auto"/>
        <w:ind w:left="420" w:hangingChars="200"/>
        <w:contextualSpacing/>
        <w:rPr>
          <w:rFonts w:hAnsi="Times New Roman"/>
          <w:color w:val="000000"/>
          <w:kern w:val="0"/>
          <w:szCs w:val="21"/>
          <w:lang w:bidi="en-US"/>
        </w:rPr>
      </w:pPr>
      <w:r>
        <w:rPr>
          <w:rFonts w:hAnsi="Times New Roman" w:eastAsia="Times New Roman"/>
          <w:color w:val="000000"/>
          <w:kern w:val="0"/>
          <w:szCs w:val="21"/>
          <w:lang w:bidi="en-US"/>
        </w:rPr>
        <w:t xml:space="preserve">From May 2011 to May 2015, Ms. Wang Rui joined Hainan Kunhe Law Office and began to practice as a lawyer as a part-time paralegal at school. </w:t>
      </w:r>
    </w:p>
    <w:p w14:paraId="79AEE56E">
      <w:pPr>
        <w:widowControl/>
        <w:numPr>
          <w:ilvl w:val="0"/>
          <w:numId w:val="1"/>
        </w:numPr>
        <w:adjustRightInd w:val="0"/>
        <w:spacing w:before="156" w:beforeLines="50" w:after="156" w:afterLines="50" w:line="360" w:lineRule="auto"/>
        <w:ind w:left="420" w:hangingChars="200"/>
        <w:contextualSpacing/>
        <w:rPr>
          <w:rFonts w:hAnsi="Times New Roman"/>
          <w:color w:val="000000"/>
          <w:kern w:val="0"/>
          <w:szCs w:val="21"/>
          <w:lang w:bidi="en-US"/>
        </w:rPr>
      </w:pPr>
      <w:r>
        <w:rPr>
          <w:rFonts w:hAnsi="Times New Roman" w:eastAsia="Times New Roman"/>
          <w:color w:val="000000"/>
          <w:kern w:val="0"/>
          <w:szCs w:val="21"/>
          <w:lang w:bidi="en-US"/>
        </w:rPr>
        <w:t>From June 2015 to June 2021, Ms. Wang Rui worked at Shenzhen Head Office of Zhongshan Securities Co., Ltd., Compliance and Legal Department of Shenzhen Head Office</w:t>
      </w:r>
    </w:p>
    <w:p w14:paraId="45A4B614">
      <w:pPr>
        <w:widowControl/>
        <w:numPr>
          <w:ilvl w:val="0"/>
          <w:numId w:val="1"/>
        </w:numPr>
        <w:adjustRightInd w:val="0"/>
        <w:spacing w:before="156" w:beforeLines="50" w:after="156" w:afterLines="50" w:line="360" w:lineRule="auto"/>
        <w:ind w:left="420" w:hangingChars="200"/>
        <w:contextualSpacing/>
        <w:rPr>
          <w:rFonts w:hAnsi="Times New Roman"/>
          <w:color w:val="000000"/>
          <w:kern w:val="0"/>
          <w:szCs w:val="21"/>
          <w:lang w:bidi="en-US"/>
        </w:rPr>
      </w:pPr>
      <w:r>
        <w:rPr>
          <w:rFonts w:hAnsi="Times New Roman" w:eastAsia="Times New Roman"/>
          <w:color w:val="000000"/>
          <w:kern w:val="0"/>
          <w:szCs w:val="21"/>
          <w:lang w:bidi="en-US"/>
        </w:rPr>
        <w:t xml:space="preserve">From July 27, 2021 to present, Ms. Wang Rui joined Shenzhen Branch of Chance Bridge Law Firm. </w:t>
      </w:r>
    </w:p>
    <w:p w14:paraId="5AEA06B0">
      <w:pPr>
        <w:widowControl/>
        <w:adjustRightInd w:val="0"/>
        <w:spacing w:before="156" w:beforeLines="50" w:after="156" w:afterLines="50" w:line="360" w:lineRule="auto"/>
        <w:ind w:left="-420" w:leftChars="-200"/>
        <w:contextualSpacing/>
        <w:rPr>
          <w:rFonts w:hAnsi="Times New Roman"/>
          <w:color w:val="000000"/>
          <w:kern w:val="0"/>
          <w:szCs w:val="21"/>
          <w:lang w:bidi="en-US"/>
        </w:rPr>
      </w:pPr>
    </w:p>
    <w:p w14:paraId="5F0F7D94">
      <w:pPr>
        <w:adjustRightInd w:val="0"/>
        <w:contextualSpacing/>
        <w:rPr>
          <w:rFonts w:hAnsi="Times New Roman"/>
          <w:b/>
          <w:bCs/>
          <w:color w:val="00366F"/>
          <w:szCs w:val="20"/>
          <w:lang w:bidi="en-US"/>
        </w:rPr>
      </w:pPr>
      <w:r>
        <w:rPr>
          <w:rFonts w:hAnsi="Times New Roman" w:eastAsia="Times New Roman"/>
          <w:b/>
          <w:bCs/>
          <w:color w:val="00366F"/>
          <w:szCs w:val="20"/>
          <w:lang w:bidi="en-US"/>
        </w:rPr>
        <w:t>Representative Projects</w:t>
      </w:r>
    </w:p>
    <w:p w14:paraId="70518954">
      <w:pPr>
        <w:adjustRightInd w:val="0"/>
        <w:spacing w:line="200" w:lineRule="exact"/>
        <w:contextualSpacing/>
        <w:rPr>
          <w:rFonts w:hAnsi="Times New Roman"/>
          <w:b/>
          <w:bCs/>
          <w:color w:val="00366F"/>
          <w:szCs w:val="20"/>
          <w:lang w:bidi="en-US"/>
        </w:rPr>
      </w:pPr>
      <w:r>
        <w:rPr>
          <w:rFonts w:hAnsi="Times New Roman"/>
          <w:b/>
          <w:bCs/>
          <w:color w:val="00366F"/>
          <w:szCs w:val="20"/>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102870</wp:posOffset>
                </wp:positionV>
                <wp:extent cx="5819775" cy="0"/>
                <wp:effectExtent l="0" t="0" r="0" b="0"/>
                <wp:wrapNone/>
                <wp:docPr id="449" name="直接连接符 449"/>
                <wp:cNvGraphicFramePr/>
                <a:graphic xmlns:a="http://schemas.openxmlformats.org/drawingml/2006/main">
                  <a:graphicData uri="http://schemas.microsoft.com/office/word/2010/wordprocessingShape">
                    <wps:wsp>
                      <wps:cNvCnPr/>
                      <wps:spPr>
                        <a:xfrm>
                          <a:off x="0" y="0"/>
                          <a:ext cx="5819775" cy="0"/>
                        </a:xfrm>
                        <a:prstGeom prst="line">
                          <a:avLst/>
                        </a:prstGeom>
                        <a:ln>
                          <a:solidFill>
                            <a:srgbClr val="0036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1pt;height:0pt;width:458.25pt;mso-position-horizontal-relative:margin;z-index:251664384;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cVPl&#10;1AAAAAYBAAAPAAAAAAAAAAEAIAAAACIAAABkcnMvZG93bnJldi54bWxQSwECFAAUAAAACACHTuJA&#10;R87atuwBAAC1AwAADgAAAAAAAAABACAAAAAjAQAAZHJzL2Uyb0RvYy54bWxQSwUGAAAAAAYABgBZ&#10;AQAAgQUAAAAA&#10;">
                <v:fill on="f" focussize="0,0"/>
                <v:stroke weight="0.5pt" color="#00366F [3204]" miterlimit="8" joinstyle="miter"/>
                <v:imagedata o:title=""/>
                <o:lock v:ext="edit" aspectratio="f"/>
              </v:line>
            </w:pict>
          </mc:Fallback>
        </mc:AlternateContent>
      </w:r>
    </w:p>
    <w:p w14:paraId="030E514F">
      <w:pPr>
        <w:adjustRightInd w:val="0"/>
        <w:spacing w:line="200" w:lineRule="exact"/>
        <w:contextualSpacing/>
        <w:rPr>
          <w:rFonts w:hAnsi="Times New Roman"/>
          <w:b/>
          <w:bCs/>
          <w:color w:val="00366F"/>
          <w:szCs w:val="20"/>
          <w:lang w:bidi="en-US"/>
        </w:rPr>
      </w:pPr>
    </w:p>
    <w:p w14:paraId="5751E57E">
      <w:pPr>
        <w:adjustRightInd w:val="0"/>
        <w:spacing w:before="156" w:beforeLines="50" w:after="156" w:afterLines="50" w:line="360" w:lineRule="auto"/>
        <w:contextualSpacing/>
        <w:rPr>
          <w:rFonts w:hAnsi="Times New Roman"/>
          <w:b/>
          <w:bCs/>
          <w:color w:val="00549B"/>
          <w:szCs w:val="20"/>
          <w:lang w:bidi="en-US"/>
        </w:rPr>
      </w:pPr>
      <w:r>
        <w:rPr>
          <w:rFonts w:hAnsi="Times New Roman" w:eastAsia="Times New Roman"/>
          <w:b/>
          <w:bCs/>
          <w:color w:val="00549B"/>
          <w:szCs w:val="20"/>
          <w:lang w:bidi="en-US"/>
        </w:rPr>
        <w:t>Securities Issuance/IPO/NSB/Bonds</w:t>
      </w:r>
    </w:p>
    <w:p w14:paraId="7BDDE98A">
      <w:pPr>
        <w:widowControl/>
        <w:numPr>
          <w:ilvl w:val="0"/>
          <w:numId w:val="1"/>
        </w:numPr>
        <w:adjustRightInd w:val="0"/>
        <w:spacing w:before="156" w:beforeLines="50" w:after="156" w:afterLines="50" w:line="360" w:lineRule="auto"/>
        <w:ind w:left="420" w:hangingChars="200"/>
        <w:contextualSpacing/>
        <w:rPr>
          <w:rFonts w:hAnsi="Times New Roman"/>
          <w:color w:val="000000"/>
          <w:kern w:val="0"/>
          <w:szCs w:val="21"/>
          <w:lang w:bidi="en-US"/>
        </w:rPr>
      </w:pPr>
      <w:r>
        <w:rPr>
          <w:rFonts w:hAnsi="Times New Roman" w:eastAsia="Times New Roman"/>
          <w:color w:val="000000"/>
          <w:kern w:val="0"/>
          <w:szCs w:val="21"/>
          <w:lang w:bidi="en-US"/>
        </w:rPr>
        <w:t>Participating in the on-site inspection of the non-public Equity Securities issued by BUYDEEM (300824) and providing legal verification opinion;</w:t>
      </w:r>
    </w:p>
    <w:p w14:paraId="0B555104">
      <w:pPr>
        <w:widowControl/>
        <w:numPr>
          <w:ilvl w:val="0"/>
          <w:numId w:val="1"/>
        </w:numPr>
        <w:adjustRightInd w:val="0"/>
        <w:spacing w:before="156" w:beforeLines="50" w:after="156" w:afterLines="50" w:line="360" w:lineRule="auto"/>
        <w:ind w:left="420" w:hangingChars="200"/>
        <w:contextualSpacing/>
        <w:rPr>
          <w:rFonts w:hAnsi="Times New Roman"/>
          <w:color w:val="000000"/>
          <w:kern w:val="0"/>
          <w:szCs w:val="21"/>
          <w:lang w:bidi="en-US"/>
        </w:rPr>
      </w:pPr>
      <w:r>
        <w:rPr>
          <w:rFonts w:hAnsi="Times New Roman" w:eastAsia="Times New Roman"/>
          <w:color w:val="000000"/>
          <w:kern w:val="0"/>
          <w:szCs w:val="21"/>
          <w:lang w:bidi="en-US"/>
        </w:rPr>
        <w:t>Participating in the on-site inspection of the non-public Equity Securities issued by United Winners (688518) and providing legal verification opinion;</w:t>
      </w:r>
    </w:p>
    <w:p w14:paraId="6311BFEC">
      <w:pPr>
        <w:widowControl/>
        <w:numPr>
          <w:ilvl w:val="0"/>
          <w:numId w:val="1"/>
        </w:numPr>
        <w:adjustRightInd w:val="0"/>
        <w:spacing w:before="156" w:beforeLines="50" w:after="156" w:afterLines="50" w:line="360" w:lineRule="auto"/>
        <w:ind w:left="420" w:hangingChars="200"/>
        <w:contextualSpacing/>
        <w:rPr>
          <w:rFonts w:hAnsi="Times New Roman"/>
          <w:color w:val="000000"/>
          <w:kern w:val="0"/>
          <w:szCs w:val="21"/>
          <w:lang w:bidi="en-US"/>
        </w:rPr>
      </w:pPr>
      <w:r>
        <w:rPr>
          <w:rFonts w:hAnsi="Times New Roman" w:eastAsia="Times New Roman"/>
          <w:color w:val="000000"/>
          <w:kern w:val="0"/>
          <w:szCs w:val="21"/>
          <w:lang w:bidi="en-US"/>
        </w:rPr>
        <w:t>Participating in the handling of securities misrepresentation disputes arising from private placement of bonds by Bright High SMEs;</w:t>
      </w:r>
    </w:p>
    <w:p w14:paraId="3AFCA6CA">
      <w:pPr>
        <w:widowControl/>
        <w:numPr>
          <w:ilvl w:val="0"/>
          <w:numId w:val="1"/>
        </w:numPr>
        <w:adjustRightInd w:val="0"/>
        <w:spacing w:before="156" w:beforeLines="50" w:after="156" w:afterLines="50" w:line="360" w:lineRule="auto"/>
        <w:ind w:left="420" w:hangingChars="200"/>
        <w:contextualSpacing/>
        <w:rPr>
          <w:rFonts w:hAnsi="Times New Roman"/>
          <w:color w:val="000000"/>
          <w:kern w:val="0"/>
          <w:szCs w:val="21"/>
          <w:lang w:bidi="en-US"/>
        </w:rPr>
      </w:pPr>
      <w:r>
        <w:rPr>
          <w:rFonts w:hAnsi="Times New Roman" w:eastAsia="Times New Roman"/>
          <w:color w:val="000000"/>
          <w:kern w:val="0"/>
          <w:szCs w:val="21"/>
          <w:lang w:bidi="en-US"/>
        </w:rPr>
        <w:t>Participating in the handling of default of non-public corporate bonds issued by Bright Oceans Corporation and settlement of contract disputes for subsequent corporate bond transactions</w:t>
      </w:r>
    </w:p>
    <w:p w14:paraId="035B337D">
      <w:pPr>
        <w:widowControl/>
        <w:adjustRightInd w:val="0"/>
        <w:spacing w:before="156" w:beforeLines="50" w:after="156" w:afterLines="50" w:line="360" w:lineRule="auto"/>
        <w:contextualSpacing/>
        <w:rPr>
          <w:rFonts w:ascii="宋体" w:hAnsi="宋体" w:cs="宋体"/>
          <w:szCs w:val="21"/>
        </w:rPr>
      </w:pPr>
    </w:p>
    <w:p w14:paraId="5CD2FC67">
      <w:pPr>
        <w:adjustRightInd w:val="0"/>
        <w:contextualSpacing/>
        <w:rPr>
          <w:rFonts w:hAnsi="Times New Roman"/>
          <w:b/>
          <w:bCs/>
          <w:color w:val="00366F"/>
          <w:szCs w:val="20"/>
          <w:lang w:bidi="en-US"/>
        </w:rPr>
      </w:pPr>
      <w:r>
        <w:rPr>
          <w:rFonts w:hAnsi="Times New Roman" w:eastAsia="Times New Roman"/>
          <w:b/>
          <w:bCs/>
          <w:color w:val="00366F"/>
          <w:szCs w:val="20"/>
          <w:lang w:bidi="en-US"/>
        </w:rPr>
        <w:t>Working Language</w:t>
      </w:r>
    </w:p>
    <w:p w14:paraId="2529EBE3">
      <w:pPr>
        <w:adjustRightInd w:val="0"/>
        <w:spacing w:line="200" w:lineRule="exact"/>
        <w:contextualSpacing/>
        <w:rPr>
          <w:rFonts w:hAnsi="Times New Roman"/>
          <w:b/>
          <w:bCs/>
          <w:color w:val="00366F"/>
          <w:szCs w:val="20"/>
          <w:lang w:bidi="en-US"/>
        </w:rPr>
      </w:pPr>
      <w:r>
        <w:rPr>
          <w:rFonts w:hAnsi="Times New Roman"/>
          <w:b/>
          <w:bCs/>
          <w:color w:val="00366F"/>
          <w:szCs w:val="2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6" name="直接连接符 456"/>
                <wp:cNvGraphicFramePr/>
                <a:graphic xmlns:a="http://schemas.openxmlformats.org/drawingml/2006/main">
                  <a:graphicData uri="http://schemas.microsoft.com/office/word/2010/wordprocessingShape">
                    <wps:wsp>
                      <wps:cNvCnPr/>
                      <wps:spPr>
                        <a:xfrm>
                          <a:off x="0" y="0"/>
                          <a:ext cx="5819775" cy="0"/>
                        </a:xfrm>
                        <a:prstGeom prst="line">
                          <a:avLst/>
                        </a:prstGeom>
                        <a:ln>
                          <a:solidFill>
                            <a:srgbClr val="0036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pt;width:458.25pt;mso-position-horizontal-relative:margin;z-index:251665408;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LqZm&#10;1QAAAAYBAAAPAAAAAAAAAAEAIAAAACIAAABkcnMvZG93bnJldi54bWxQSwECFAAUAAAACACHTuJA&#10;/ffuousBAAC1AwAADgAAAAAAAAABACAAAAAkAQAAZHJzL2Uyb0RvYy54bWxQSwUGAAAAAAYABgBZ&#10;AQAAgQUAAAAA&#10;">
                <v:fill on="f" focussize="0,0"/>
                <v:stroke weight="0.5pt" color="#00366F [3204]" miterlimit="8" joinstyle="miter"/>
                <v:imagedata o:title=""/>
                <o:lock v:ext="edit" aspectratio="f"/>
              </v:line>
            </w:pict>
          </mc:Fallback>
        </mc:AlternateContent>
      </w:r>
    </w:p>
    <w:p w14:paraId="544B2F97">
      <w:pPr>
        <w:adjustRightInd w:val="0"/>
        <w:spacing w:line="200" w:lineRule="exact"/>
        <w:contextualSpacing/>
        <w:rPr>
          <w:rFonts w:hAnsi="Times New Roman"/>
          <w:color w:val="000000"/>
          <w:szCs w:val="20"/>
        </w:rPr>
      </w:pPr>
    </w:p>
    <w:p w14:paraId="636DA2AC">
      <w:pPr>
        <w:adjustRightInd w:val="0"/>
        <w:spacing w:before="156" w:beforeLines="50" w:after="156" w:afterLines="50" w:line="360" w:lineRule="auto"/>
        <w:contextualSpacing/>
        <w:rPr>
          <w:rFonts w:hAnsi="Times New Roman"/>
          <w:b/>
          <w:bCs/>
          <w:color w:val="00366F"/>
          <w:szCs w:val="20"/>
          <w:lang w:bidi="en-US"/>
        </w:rPr>
      </w:pPr>
      <w:r>
        <w:rPr>
          <w:rFonts w:hAnsi="Times New Roman" w:eastAsia="Times New Roman"/>
          <w:color w:val="000000"/>
          <w:szCs w:val="20"/>
        </w:rPr>
        <w:t xml:space="preserve">Chinese </w:t>
      </w:r>
    </w:p>
    <w:sectPr>
      <w:headerReference r:id="rId3" w:type="default"/>
      <w:footerReference r:id="rId4" w:type="default"/>
      <w:footerReference r:id="rId5" w:type="even"/>
      <w:pgSz w:w="11906" w:h="16838"/>
      <w:pgMar w:top="2098" w:right="1474" w:bottom="2098" w:left="1474" w:header="851" w:footer="25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6C14">
    <w:pPr>
      <w:pStyle w:val="6"/>
      <w:spacing w:line="220" w:lineRule="exact"/>
      <w:ind w:right="-680" w:rightChars="-324"/>
      <w:jc w:val="right"/>
      <w:rPr>
        <w:rFonts w:ascii="微软雅黑" w:hAnsi="微软雅黑" w:eastAsia="微软雅黑"/>
        <w:color w:val="A6A6A6"/>
        <w:sz w:val="15"/>
        <w:szCs w:val="15"/>
      </w:rPr>
    </w:pPr>
    <w:r>
      <w:rPr>
        <w:rFonts w:ascii="微软雅黑" w:hAnsi="微软雅黑" w:eastAsia="微软雅黑"/>
        <w:color w:val="A6A6A6"/>
        <w:sz w:val="15"/>
        <w:szCs w:val="15"/>
      </w:rPr>
      <w:tab/>
    </w:r>
    <w:r>
      <w:rPr>
        <w:rFonts w:ascii="微软雅黑" w:hAnsi="微软雅黑" w:eastAsia="微软雅黑"/>
        <w:color w:val="A6A6A6"/>
        <w:sz w:val="15"/>
        <w:szCs w:val="15"/>
      </w:rPr>
      <w:fldChar w:fldCharType="begin"/>
    </w:r>
    <w:r>
      <w:rPr>
        <w:rFonts w:ascii="微软雅黑" w:hAnsi="微软雅黑" w:eastAsia="微软雅黑"/>
        <w:color w:val="A6A6A6"/>
        <w:sz w:val="15"/>
        <w:szCs w:val="15"/>
      </w:rPr>
      <w:instrText xml:space="preserve">PAGE   \* MERGEFORMAT</w:instrText>
    </w:r>
    <w:r>
      <w:rPr>
        <w:rFonts w:ascii="微软雅黑" w:hAnsi="微软雅黑" w:eastAsia="微软雅黑"/>
        <w:color w:val="A6A6A6"/>
        <w:sz w:val="15"/>
        <w:szCs w:val="15"/>
      </w:rPr>
      <w:fldChar w:fldCharType="separate"/>
    </w:r>
    <w:r>
      <w:rPr>
        <w:rFonts w:ascii="微软雅黑" w:hAnsi="微软雅黑" w:eastAsia="微软雅黑"/>
        <w:color w:val="A6A6A6"/>
        <w:sz w:val="15"/>
        <w:szCs w:val="15"/>
        <w:lang w:val="zh-CN"/>
      </w:rPr>
      <w:t>1</w:t>
    </w:r>
    <w:r>
      <w:rPr>
        <w:rFonts w:ascii="微软雅黑" w:hAnsi="微软雅黑" w:eastAsia="微软雅黑"/>
        <w:color w:val="A6A6A6"/>
        <w:sz w:val="15"/>
        <w:szCs w:val="15"/>
      </w:rPr>
      <w:fldChar w:fldCharType="end"/>
    </w:r>
  </w:p>
  <w:p w14:paraId="764F01D8">
    <w:pPr>
      <w:pStyle w:val="6"/>
      <w:spacing w:line="220" w:lineRule="exact"/>
      <w:ind w:right="-680" w:rightChars="-324"/>
      <w:jc w:val="right"/>
      <w:rPr>
        <w:rFonts w:ascii="微软雅黑" w:hAnsi="微软雅黑" w:eastAsia="微软雅黑"/>
        <w:color w:val="A6A6A6"/>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BD926">
    <w:pPr>
      <w:pStyle w:val="6"/>
      <w:framePr w:wrap="around" w:vAnchor="text" w:hAnchor="margin" w:xAlign="center" w:y="1"/>
      <w:rPr>
        <w:rStyle w:val="14"/>
      </w:rPr>
    </w:pPr>
    <w:r>
      <w:rPr>
        <w:rStyle w:val="14"/>
      </w:rPr>
      <w:fldChar w:fldCharType="begin"/>
    </w:r>
    <w:r>
      <w:rPr>
        <w:rStyle w:val="14"/>
      </w:rPr>
      <w:instrText xml:space="preserve"> PAGE </w:instrText>
    </w:r>
    <w:r>
      <w:rPr>
        <w:rStyle w:val="14"/>
      </w:rPr>
      <w:fldChar w:fldCharType="end"/>
    </w:r>
  </w:p>
  <w:p w14:paraId="53165CA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9F232">
    <w:pPr>
      <w:pStyle w:val="7"/>
    </w:pPr>
    <w:r>
      <w:drawing>
        <wp:anchor distT="0" distB="0" distL="114300" distR="114300" simplePos="0" relativeHeight="251659264" behindDoc="1" locked="0" layoutInCell="1" allowOverlap="1">
          <wp:simplePos x="0" y="0"/>
          <wp:positionH relativeFrom="page">
            <wp:posOffset>-17145</wp:posOffset>
          </wp:positionH>
          <wp:positionV relativeFrom="margin">
            <wp:posOffset>-1326515</wp:posOffset>
          </wp:positionV>
          <wp:extent cx="7556500" cy="10692130"/>
          <wp:effectExtent l="0" t="0" r="6985"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E3E9E"/>
    <w:multiLevelType w:val="multilevel"/>
    <w:tmpl w:val="614E3E9E"/>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CE"/>
    <w:rsid w:val="0005717D"/>
    <w:rsid w:val="00083648"/>
    <w:rsid w:val="000A78C5"/>
    <w:rsid w:val="000D2602"/>
    <w:rsid w:val="000D783E"/>
    <w:rsid w:val="000E1986"/>
    <w:rsid w:val="000E2379"/>
    <w:rsid w:val="00130C57"/>
    <w:rsid w:val="0014320D"/>
    <w:rsid w:val="00143DBB"/>
    <w:rsid w:val="00153806"/>
    <w:rsid w:val="00157B0D"/>
    <w:rsid w:val="0017288A"/>
    <w:rsid w:val="001757D2"/>
    <w:rsid w:val="0019515A"/>
    <w:rsid w:val="001B7D6D"/>
    <w:rsid w:val="001C2235"/>
    <w:rsid w:val="001C42FB"/>
    <w:rsid w:val="001C72C6"/>
    <w:rsid w:val="001D1678"/>
    <w:rsid w:val="001E06D8"/>
    <w:rsid w:val="00217F7C"/>
    <w:rsid w:val="002A21F1"/>
    <w:rsid w:val="002A27C6"/>
    <w:rsid w:val="002A6BB9"/>
    <w:rsid w:val="002B6E0D"/>
    <w:rsid w:val="002D0C74"/>
    <w:rsid w:val="00314230"/>
    <w:rsid w:val="003414F0"/>
    <w:rsid w:val="00356A6D"/>
    <w:rsid w:val="00356D25"/>
    <w:rsid w:val="00367193"/>
    <w:rsid w:val="003728C9"/>
    <w:rsid w:val="00382755"/>
    <w:rsid w:val="0038786B"/>
    <w:rsid w:val="00392D38"/>
    <w:rsid w:val="003A2808"/>
    <w:rsid w:val="003E0487"/>
    <w:rsid w:val="00422474"/>
    <w:rsid w:val="00441F8C"/>
    <w:rsid w:val="0044492D"/>
    <w:rsid w:val="00450283"/>
    <w:rsid w:val="004524CC"/>
    <w:rsid w:val="004A3D29"/>
    <w:rsid w:val="004B0A40"/>
    <w:rsid w:val="004B6755"/>
    <w:rsid w:val="004B6CB8"/>
    <w:rsid w:val="004C23D9"/>
    <w:rsid w:val="004C57B8"/>
    <w:rsid w:val="004C66AF"/>
    <w:rsid w:val="004D11D9"/>
    <w:rsid w:val="004D1D2C"/>
    <w:rsid w:val="004D51ED"/>
    <w:rsid w:val="00502B36"/>
    <w:rsid w:val="00510DAD"/>
    <w:rsid w:val="0053419B"/>
    <w:rsid w:val="00541890"/>
    <w:rsid w:val="00554755"/>
    <w:rsid w:val="00556046"/>
    <w:rsid w:val="00557A7C"/>
    <w:rsid w:val="00570177"/>
    <w:rsid w:val="00570DD1"/>
    <w:rsid w:val="00582C0D"/>
    <w:rsid w:val="005A3838"/>
    <w:rsid w:val="005D1791"/>
    <w:rsid w:val="005E51B4"/>
    <w:rsid w:val="005E6060"/>
    <w:rsid w:val="005E7ABD"/>
    <w:rsid w:val="0060328A"/>
    <w:rsid w:val="006054B4"/>
    <w:rsid w:val="00611292"/>
    <w:rsid w:val="006179FC"/>
    <w:rsid w:val="00620F01"/>
    <w:rsid w:val="00627187"/>
    <w:rsid w:val="00653850"/>
    <w:rsid w:val="00662BCE"/>
    <w:rsid w:val="00662D6D"/>
    <w:rsid w:val="00682066"/>
    <w:rsid w:val="00684EDD"/>
    <w:rsid w:val="006B1483"/>
    <w:rsid w:val="006C49E2"/>
    <w:rsid w:val="006C59B4"/>
    <w:rsid w:val="006D2CDC"/>
    <w:rsid w:val="006F3576"/>
    <w:rsid w:val="00733C98"/>
    <w:rsid w:val="0076058F"/>
    <w:rsid w:val="007C6120"/>
    <w:rsid w:val="007D6FDA"/>
    <w:rsid w:val="007E1477"/>
    <w:rsid w:val="00810B58"/>
    <w:rsid w:val="00817170"/>
    <w:rsid w:val="00820E58"/>
    <w:rsid w:val="0083273C"/>
    <w:rsid w:val="00835683"/>
    <w:rsid w:val="0087754E"/>
    <w:rsid w:val="008B04C2"/>
    <w:rsid w:val="008B5537"/>
    <w:rsid w:val="008B6D5B"/>
    <w:rsid w:val="0092686D"/>
    <w:rsid w:val="009346B6"/>
    <w:rsid w:val="00935B97"/>
    <w:rsid w:val="00936CD0"/>
    <w:rsid w:val="009A0314"/>
    <w:rsid w:val="009A55E2"/>
    <w:rsid w:val="009C184C"/>
    <w:rsid w:val="009D6EDD"/>
    <w:rsid w:val="009D7C2A"/>
    <w:rsid w:val="009E0F38"/>
    <w:rsid w:val="009E2141"/>
    <w:rsid w:val="009F0CB0"/>
    <w:rsid w:val="009F2330"/>
    <w:rsid w:val="009F3098"/>
    <w:rsid w:val="009F4DBA"/>
    <w:rsid w:val="00A27557"/>
    <w:rsid w:val="00A27BD4"/>
    <w:rsid w:val="00A37160"/>
    <w:rsid w:val="00A404E4"/>
    <w:rsid w:val="00A42E28"/>
    <w:rsid w:val="00AA3CDA"/>
    <w:rsid w:val="00AA4AA0"/>
    <w:rsid w:val="00AA58D8"/>
    <w:rsid w:val="00AC6EEF"/>
    <w:rsid w:val="00AE1EBA"/>
    <w:rsid w:val="00AF2FB6"/>
    <w:rsid w:val="00B04D96"/>
    <w:rsid w:val="00B24794"/>
    <w:rsid w:val="00B272D5"/>
    <w:rsid w:val="00B45721"/>
    <w:rsid w:val="00B56DC2"/>
    <w:rsid w:val="00B605CD"/>
    <w:rsid w:val="00B81E24"/>
    <w:rsid w:val="00B87B4D"/>
    <w:rsid w:val="00BA2F49"/>
    <w:rsid w:val="00BE272C"/>
    <w:rsid w:val="00BF281D"/>
    <w:rsid w:val="00C02C07"/>
    <w:rsid w:val="00C03B14"/>
    <w:rsid w:val="00C07E9B"/>
    <w:rsid w:val="00C17C93"/>
    <w:rsid w:val="00C21407"/>
    <w:rsid w:val="00C36019"/>
    <w:rsid w:val="00C44EF9"/>
    <w:rsid w:val="00C467C1"/>
    <w:rsid w:val="00C558CE"/>
    <w:rsid w:val="00C632FA"/>
    <w:rsid w:val="00C6609A"/>
    <w:rsid w:val="00C70A0B"/>
    <w:rsid w:val="00C86131"/>
    <w:rsid w:val="00C86230"/>
    <w:rsid w:val="00CF5906"/>
    <w:rsid w:val="00D01DFD"/>
    <w:rsid w:val="00D04688"/>
    <w:rsid w:val="00D40127"/>
    <w:rsid w:val="00D741AE"/>
    <w:rsid w:val="00DB4661"/>
    <w:rsid w:val="00DC139E"/>
    <w:rsid w:val="00DC5C73"/>
    <w:rsid w:val="00DC7E0F"/>
    <w:rsid w:val="00DE15CD"/>
    <w:rsid w:val="00DF5B0F"/>
    <w:rsid w:val="00E01140"/>
    <w:rsid w:val="00E03F2C"/>
    <w:rsid w:val="00E35AF2"/>
    <w:rsid w:val="00E97C14"/>
    <w:rsid w:val="00ED5903"/>
    <w:rsid w:val="00F07436"/>
    <w:rsid w:val="00F151EF"/>
    <w:rsid w:val="00F17DC3"/>
    <w:rsid w:val="00F27C1B"/>
    <w:rsid w:val="00F31665"/>
    <w:rsid w:val="00F84B26"/>
    <w:rsid w:val="00F90911"/>
    <w:rsid w:val="00FA5B16"/>
    <w:rsid w:val="00FA6CEF"/>
    <w:rsid w:val="00FE1E59"/>
    <w:rsid w:val="00FF3292"/>
    <w:rsid w:val="046B53CB"/>
    <w:rsid w:val="0DCF4951"/>
    <w:rsid w:val="128D4FA8"/>
    <w:rsid w:val="13DA20A4"/>
    <w:rsid w:val="1744526A"/>
    <w:rsid w:val="19F56E53"/>
    <w:rsid w:val="1A866462"/>
    <w:rsid w:val="1D7D6343"/>
    <w:rsid w:val="1E14454E"/>
    <w:rsid w:val="1EB75A63"/>
    <w:rsid w:val="27B44D2C"/>
    <w:rsid w:val="27B51BDD"/>
    <w:rsid w:val="295F17CC"/>
    <w:rsid w:val="2C7B1B16"/>
    <w:rsid w:val="3B5F5575"/>
    <w:rsid w:val="3CEE3CBC"/>
    <w:rsid w:val="3F140083"/>
    <w:rsid w:val="496528C5"/>
    <w:rsid w:val="5C8B75A6"/>
    <w:rsid w:val="5F9E751F"/>
    <w:rsid w:val="61D0788F"/>
    <w:rsid w:val="63697DB2"/>
    <w:rsid w:val="63B82CEC"/>
    <w:rsid w:val="670F4F57"/>
    <w:rsid w:val="73AF3EB3"/>
    <w:rsid w:val="74477EBD"/>
    <w:rsid w:val="75736C68"/>
    <w:rsid w:val="75874BD4"/>
    <w:rsid w:val="769D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宋体" w:cs="Times New Roman"/>
      <w:kern w:val="2"/>
      <w:sz w:val="21"/>
      <w:szCs w:val="24"/>
      <w:lang w:val="en-US" w:eastAsia="zh-CN" w:bidi="ar-SA"/>
    </w:rPr>
  </w:style>
  <w:style w:type="paragraph" w:styleId="2">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8"/>
    <w:basedOn w:val="1"/>
    <w:next w:val="1"/>
    <w:link w:val="2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alloon Text"/>
    <w:basedOn w:val="1"/>
    <w:link w:val="19"/>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hAnsi="宋体" w:cs="宋体"/>
      <w:kern w:val="0"/>
      <w:sz w:val="24"/>
    </w:rPr>
  </w:style>
  <w:style w:type="paragraph" w:styleId="9">
    <w:name w:val="Title"/>
    <w:basedOn w:val="1"/>
    <w:next w:val="1"/>
    <w:link w:val="2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4"/>
    <w:next w:val="4"/>
    <w:link w:val="17"/>
    <w:qFormat/>
    <w:uiPriority w:val="0"/>
    <w:rPr>
      <w:b/>
      <w:bCs/>
    </w:rPr>
  </w:style>
  <w:style w:type="character" w:styleId="13">
    <w:name w:val="Strong"/>
    <w:qFormat/>
    <w:uiPriority w:val="22"/>
    <w:rPr>
      <w:b/>
      <w:bCs/>
    </w:rPr>
  </w:style>
  <w:style w:type="character" w:styleId="14">
    <w:name w:val="page number"/>
    <w:qFormat/>
    <w:uiPriority w:val="0"/>
  </w:style>
  <w:style w:type="character" w:styleId="15">
    <w:name w:val="Hyperlink"/>
    <w:basedOn w:val="12"/>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主题 字符"/>
    <w:link w:val="10"/>
    <w:qFormat/>
    <w:uiPriority w:val="0"/>
    <w:rPr>
      <w:b/>
      <w:bCs/>
      <w:kern w:val="2"/>
      <w:sz w:val="21"/>
      <w:szCs w:val="24"/>
    </w:rPr>
  </w:style>
  <w:style w:type="character" w:customStyle="1" w:styleId="18">
    <w:name w:val="批注文字 字符"/>
    <w:link w:val="4"/>
    <w:qFormat/>
    <w:uiPriority w:val="0"/>
    <w:rPr>
      <w:kern w:val="2"/>
      <w:sz w:val="21"/>
      <w:szCs w:val="24"/>
    </w:rPr>
  </w:style>
  <w:style w:type="character" w:customStyle="1" w:styleId="19">
    <w:name w:val="批注框文本 字符"/>
    <w:link w:val="5"/>
    <w:qFormat/>
    <w:uiPriority w:val="0"/>
    <w:rPr>
      <w:kern w:val="2"/>
      <w:sz w:val="18"/>
      <w:szCs w:val="18"/>
    </w:rPr>
  </w:style>
  <w:style w:type="paragraph" w:customStyle="1" w:styleId="20">
    <w:name w:val="修订1"/>
    <w:unhideWhenUsed/>
    <w:qFormat/>
    <w:uiPriority w:val="99"/>
    <w:rPr>
      <w:rFonts w:ascii="Times New Roman" w:hAnsi="Calibri" w:eastAsia="宋体" w:cs="Times New Roman"/>
      <w:kern w:val="2"/>
      <w:sz w:val="21"/>
      <w:szCs w:val="24"/>
      <w:lang w:val="en-US" w:eastAsia="zh-CN" w:bidi="ar-SA"/>
    </w:rPr>
  </w:style>
  <w:style w:type="paragraph" w:customStyle="1" w:styleId="21">
    <w:name w:val="列表段落1"/>
    <w:basedOn w:val="1"/>
    <w:qFormat/>
    <w:uiPriority w:val="34"/>
    <w:pPr>
      <w:ind w:firstLine="200" w:firstLineChars="200"/>
    </w:pPr>
  </w:style>
  <w:style w:type="character" w:customStyle="1" w:styleId="22">
    <w:name w:val="页脚 字符"/>
    <w:link w:val="6"/>
    <w:qFormat/>
    <w:uiPriority w:val="99"/>
    <w:rPr>
      <w:kern w:val="2"/>
      <w:sz w:val="18"/>
      <w:szCs w:val="24"/>
    </w:rPr>
  </w:style>
  <w:style w:type="character" w:customStyle="1" w:styleId="23">
    <w:name w:val="标题 2 字符"/>
    <w:basedOn w:val="12"/>
    <w:link w:val="2"/>
    <w:qFormat/>
    <w:uiPriority w:val="9"/>
    <w:rPr>
      <w:rFonts w:asciiTheme="majorHAnsi" w:hAnsiTheme="majorHAnsi" w:eastAsiaTheme="majorEastAsia" w:cstheme="majorBidi"/>
      <w:b/>
      <w:bCs/>
      <w:kern w:val="2"/>
      <w:sz w:val="32"/>
      <w:szCs w:val="32"/>
    </w:rPr>
  </w:style>
  <w:style w:type="character" w:customStyle="1" w:styleId="24">
    <w:name w:val="标题 字符"/>
    <w:basedOn w:val="12"/>
    <w:link w:val="9"/>
    <w:qFormat/>
    <w:uiPriority w:val="10"/>
    <w:rPr>
      <w:rFonts w:asciiTheme="majorHAnsi" w:hAnsiTheme="majorHAnsi" w:eastAsiaTheme="majorEastAsia" w:cstheme="majorBidi"/>
      <w:b/>
      <w:bCs/>
      <w:kern w:val="2"/>
      <w:sz w:val="32"/>
      <w:szCs w:val="32"/>
    </w:rPr>
  </w:style>
  <w:style w:type="paragraph" w:styleId="25">
    <w:name w:val="List Paragraph"/>
    <w:basedOn w:val="1"/>
    <w:qFormat/>
    <w:uiPriority w:val="34"/>
    <w:pPr>
      <w:ind w:firstLine="200" w:firstLineChars="200"/>
    </w:pPr>
  </w:style>
  <w:style w:type="character" w:customStyle="1" w:styleId="26">
    <w:name w:val="无"/>
    <w:qFormat/>
    <w:uiPriority w:val="0"/>
  </w:style>
  <w:style w:type="character" w:customStyle="1" w:styleId="27">
    <w:name w:val="标题 8 字符"/>
    <w:basedOn w:val="12"/>
    <w:link w:val="3"/>
    <w:semiHidden/>
    <w:qFormat/>
    <w:uiPriority w:val="9"/>
    <w:rPr>
      <w:rFonts w:asciiTheme="majorHAnsi" w:hAnsiTheme="majorHAnsi" w:eastAsiaTheme="majorEastAsia" w:cstheme="maj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258</Words>
  <Characters>1451</Characters>
  <Lines>12</Lines>
  <Paragraphs>3</Paragraphs>
  <TotalTime>0</TotalTime>
  <ScaleCrop>false</ScaleCrop>
  <LinksUpToDate>false</LinksUpToDate>
  <CharactersWithSpaces>1698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2021-07-14T02:48:00Z</dcterms:created>
  <dc:creator>崔睿</dc:creator>
  <cp:lastModifiedBy>王瑞</cp:lastModifiedBy>
  <cp:lastPrinted>2020-04-08T03:17:00Z</cp:lastPrinted>
  <dcterms:modified xsi:type="dcterms:W3CDTF">2024-12-27T08:06:42Z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eyJoZGlkIjoiYmQ3NjQxYmZmN2ZkODIxYWNiNTEzMzQyMTZmNzQ1MmMiLCJ1c2VySWQiOiIyOTA3MjUzNzkifQ==</vt:lpwstr>
  </property>
  <property fmtid="{D5CDD505-2E9C-101B-9397-08002B2CF9AE}" pid="4" name="ICV">
    <vt:lpwstr>4779B7E5329E40EEA3F146B6AC2A742E_12</vt:lpwstr>
  </property>
</Properties>
</file>